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9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5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53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953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953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53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/>
        <w:shd w:val="clear" w:color="auto" w:fill="ffffff"/>
        <w:rPr>
          <w:rStyle w:val="1005"/>
          <w:b/>
          <w:color w:val="000000"/>
          <w:sz w:val="28"/>
          <w:szCs w:val="28"/>
        </w:rPr>
      </w:pPr>
      <w:r>
        <w:rPr>
          <w:rStyle w:val="1005"/>
          <w:b/>
          <w:color w:val="000000"/>
          <w:sz w:val="28"/>
          <w:szCs w:val="28"/>
        </w:rPr>
        <w:t xml:space="preserve">И</w:t>
      </w:r>
      <w:r>
        <w:rPr>
          <w:rStyle w:val="1005"/>
          <w:b/>
          <w:color w:val="000000"/>
          <w:sz w:val="28"/>
          <w:szCs w:val="28"/>
        </w:rPr>
        <w:t xml:space="preserve">тоги </w:t>
      </w:r>
      <w:r>
        <w:rPr>
          <w:rStyle w:val="1005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05"/>
          <w:b/>
          <w:color w:val="000000"/>
          <w:sz w:val="28"/>
          <w:szCs w:val="28"/>
        </w:rPr>
      </w:r>
      <w:r>
        <w:rPr>
          <w:rStyle w:val="1005"/>
          <w:b/>
          <w:color w:val="000000"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/>
        <w:shd w:val="clear" w:color="auto" w:fill="ffffff"/>
        <w:rPr>
          <w:rStyle w:val="1005"/>
          <w:b/>
          <w:color w:val="000000"/>
          <w:sz w:val="28"/>
          <w:szCs w:val="28"/>
        </w:rPr>
      </w:pPr>
      <w:r>
        <w:rPr>
          <w:rStyle w:val="1005"/>
          <w:b/>
          <w:color w:val="000000"/>
          <w:sz w:val="28"/>
          <w:szCs w:val="28"/>
        </w:rPr>
        <w:t xml:space="preserve">за</w:t>
      </w:r>
      <w:r>
        <w:rPr>
          <w:rStyle w:val="1005"/>
          <w:b/>
          <w:color w:val="000000"/>
          <w:sz w:val="28"/>
          <w:szCs w:val="28"/>
        </w:rPr>
        <w:t xml:space="preserve"> </w:t>
      </w:r>
      <w:r>
        <w:rPr>
          <w:rStyle w:val="1005"/>
          <w:b/>
          <w:color w:val="000000"/>
          <w:sz w:val="28"/>
          <w:szCs w:val="28"/>
        </w:rPr>
        <w:t xml:space="preserve">январь-</w:t>
      </w:r>
      <w:r>
        <w:rPr>
          <w:rStyle w:val="1005"/>
          <w:b/>
          <w:color w:val="000000"/>
          <w:sz w:val="28"/>
          <w:szCs w:val="28"/>
        </w:rPr>
        <w:t xml:space="preserve">апрель</w:t>
      </w:r>
      <w:r>
        <w:rPr>
          <w:rStyle w:val="1005"/>
          <w:b/>
          <w:color w:val="000000"/>
          <w:sz w:val="28"/>
          <w:szCs w:val="28"/>
        </w:rPr>
        <w:t xml:space="preserve"> </w:t>
      </w:r>
      <w:r>
        <w:rPr>
          <w:rStyle w:val="1005"/>
          <w:b/>
          <w:color w:val="000000"/>
          <w:sz w:val="28"/>
          <w:szCs w:val="28"/>
        </w:rPr>
        <w:t xml:space="preserve">20</w:t>
      </w:r>
      <w:r>
        <w:rPr>
          <w:rStyle w:val="1005"/>
          <w:b/>
          <w:color w:val="000000"/>
          <w:sz w:val="28"/>
          <w:szCs w:val="28"/>
        </w:rPr>
        <w:t xml:space="preserve">2</w:t>
      </w:r>
      <w:r>
        <w:rPr>
          <w:rStyle w:val="1005"/>
          <w:b/>
          <w:color w:val="000000"/>
          <w:sz w:val="28"/>
          <w:szCs w:val="28"/>
        </w:rPr>
        <w:t xml:space="preserve">4</w:t>
      </w:r>
      <w:r>
        <w:rPr>
          <w:rStyle w:val="1005"/>
          <w:b/>
          <w:color w:val="000000"/>
          <w:sz w:val="28"/>
          <w:szCs w:val="28"/>
        </w:rPr>
        <w:t xml:space="preserve"> </w:t>
      </w:r>
      <w:r>
        <w:rPr>
          <w:rStyle w:val="1005"/>
          <w:b/>
          <w:color w:val="000000"/>
          <w:sz w:val="28"/>
          <w:szCs w:val="28"/>
        </w:rPr>
        <w:t xml:space="preserve">год</w:t>
      </w:r>
      <w:r>
        <w:rPr>
          <w:rStyle w:val="1005"/>
          <w:b/>
          <w:color w:val="000000"/>
          <w:sz w:val="28"/>
          <w:szCs w:val="28"/>
        </w:rPr>
        <w:t xml:space="preserve">а</w:t>
      </w:r>
      <w:r>
        <w:rPr>
          <w:rStyle w:val="1005"/>
          <w:b/>
          <w:color w:val="000000"/>
          <w:sz w:val="28"/>
          <w:szCs w:val="28"/>
        </w:rPr>
      </w:r>
      <w:r>
        <w:rPr>
          <w:rStyle w:val="1005"/>
          <w:b/>
          <w:color w:val="000000"/>
          <w:sz w:val="28"/>
          <w:szCs w:val="28"/>
        </w:rPr>
      </w:r>
    </w:p>
    <w:p>
      <w:pPr>
        <w:pStyle w:val="1004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yellow"/>
        </w:rPr>
      </w:pP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</w:p>
    <w:p>
      <w:pPr>
        <w:pStyle w:val="953"/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Министерством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рь-апрель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январь-</w:t>
      </w:r>
      <w:r>
        <w:rPr>
          <w:sz w:val="28"/>
          <w:szCs w:val="28"/>
          <w:highlight w:val="white"/>
          <w:lang w:eastAsia="ru-RU"/>
        </w:rPr>
        <w:t xml:space="preserve">апрель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372</w:t>
      </w:r>
      <w:r>
        <w:rPr>
          <w:sz w:val="28"/>
          <w:szCs w:val="28"/>
          <w:highlight w:val="white"/>
          <w:lang w:eastAsia="ru-RU"/>
        </w:rPr>
        <w:t xml:space="preserve">,7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– 14</w:t>
      </w:r>
      <w:r>
        <w:rPr>
          <w:sz w:val="28"/>
          <w:szCs w:val="28"/>
          <w:highlight w:val="white"/>
          <w:lang w:eastAsia="ru-RU"/>
        </w:rPr>
        <w:t xml:space="preserve">9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2 %.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итогам четырех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 индекс промышленного производства (далее – ИПП)  в целом по промышленности составил</w:t>
      </w:r>
      <w:r>
        <w:rPr>
          <w:sz w:val="28"/>
          <w:szCs w:val="28"/>
          <w:highlight w:val="white"/>
          <w:lang w:eastAsia="ru-RU"/>
        </w:rPr>
        <w:t xml:space="preserve"> 10</w:t>
      </w:r>
      <w:r>
        <w:rPr>
          <w:sz w:val="28"/>
          <w:szCs w:val="28"/>
          <w:highlight w:val="white"/>
          <w:lang w:eastAsia="ru-RU"/>
        </w:rPr>
        <w:t xml:space="preserve">8,</w:t>
      </w:r>
      <w:r>
        <w:rPr>
          <w:sz w:val="28"/>
          <w:szCs w:val="28"/>
          <w:highlight w:val="white"/>
          <w:lang w:eastAsia="ru-RU"/>
        </w:rPr>
        <w:t xml:space="preserve">8 %, что выше ИПП Российской Федераци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,2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196,3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132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вошла в ТОП-5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120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9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</w:t>
      </w:r>
      <w:r>
        <w:rPr>
          <w:sz w:val="28"/>
          <w:szCs w:val="28"/>
          <w:highlight w:val="white"/>
          <w:lang w:eastAsia="ru-RU"/>
        </w:rPr>
        <w:t xml:space="preserve">12,2 </w:t>
      </w:r>
      <w:r>
        <w:rPr>
          <w:sz w:val="28"/>
          <w:szCs w:val="28"/>
          <w:highlight w:val="white"/>
          <w:lang w:eastAsia="ru-RU"/>
        </w:rPr>
        <w:t xml:space="preserve">процентных пункта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7 %).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производства составила 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2,</w:t>
      </w:r>
      <w:r>
        <w:rPr>
          <w:sz w:val="28"/>
          <w:szCs w:val="28"/>
          <w:highlight w:val="white"/>
          <w:lang w:eastAsia="ru-RU"/>
        </w:rPr>
        <w:t xml:space="preserve">7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электрического оборудования – 128,2 %;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120,5 %;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прочих готовых изделий – 128 %;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готовых металлических изделий – 111,9 %;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158,6 %;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178,7 %;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ремонт и монта</w:t>
      </w:r>
      <w:r>
        <w:rPr>
          <w:sz w:val="28"/>
          <w:szCs w:val="28"/>
          <w:highlight w:val="white"/>
          <w:lang w:eastAsia="ru-RU"/>
        </w:rPr>
        <w:t xml:space="preserve">ж машин и оборудования – 116,5 %;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одежды – 123,1 %;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мебели – 114,4 %;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бумаги и бумажных изделий – 114,1 %;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химических веществ и химических продуктов – в 4,8 р</w:t>
      </w:r>
      <w:r>
        <w:rPr>
          <w:sz w:val="28"/>
          <w:szCs w:val="28"/>
          <w:highlight w:val="white"/>
          <w:lang w:eastAsia="ru-RU"/>
        </w:rPr>
        <w:t xml:space="preserve">аз</w:t>
      </w:r>
      <w:r>
        <w:rPr>
          <w:sz w:val="28"/>
          <w:szCs w:val="28"/>
          <w:highlight w:val="white"/>
          <w:lang w:eastAsia="ru-RU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медицинских целях – в 14,2 р</w:t>
      </w:r>
      <w:r>
        <w:rPr>
          <w:sz w:val="28"/>
          <w:szCs w:val="28"/>
          <w:highlight w:val="white"/>
          <w:lang w:eastAsia="ru-RU"/>
        </w:rPr>
        <w:t xml:space="preserve">аз</w:t>
      </w:r>
      <w:r>
        <w:rPr>
          <w:sz w:val="28"/>
          <w:szCs w:val="28"/>
          <w:highlight w:val="white"/>
          <w:lang w:eastAsia="ru-RU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– 101,5%;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numPr>
          <w:ilvl w:val="0"/>
          <w:numId w:val="35"/>
        </w:num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пр</w:t>
      </w:r>
      <w:r>
        <w:rPr>
          <w:sz w:val="28"/>
          <w:szCs w:val="28"/>
          <w:highlight w:val="white"/>
          <w:lang w:eastAsia="ru-RU"/>
        </w:rPr>
        <w:t xml:space="preserve">оизводство резиновых и пластмассовых изделий – 100,7%.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5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</w:t>
      </w:r>
      <w:r>
        <w:rPr>
          <w:sz w:val="28"/>
          <w:szCs w:val="28"/>
          <w:highlight w:val="white"/>
          <w:lang w:eastAsia="ru-RU"/>
        </w:rPr>
        <w:t xml:space="preserve">четырех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5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ООО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53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lang w:eastAsia="ru-RU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53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Добыча полезных ископаемых в общем объеме производства составила 42,1 %, объем отгруженных товаров отрасли составил 153,3 млрд. рублей, темп роста к соответствующему периоду 2023 года – 196,8 %.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 по добыче полезных ископаемых в Удмуртской Республике составил 98,2 %. По «Добыче полезных ископаемых» Удмуртская Республика на 6 месте в ПФО.</w:t>
      </w:r>
      <w:r>
        <w:rPr>
          <w:highlight w:val="whit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Выпуск циркония и титана наращивает Чепецкий механический завод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(входит в ТВЭЛ). Для этого реконструировали 8000 м² производственных площадей.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Что переоснастили?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Металлургический и прокатный переделы, обеспечивающую инфраструктуру, в том числе инструментальное хозяйство по изготовлению прокатной оснастки.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Зачем нужна программа реконструкции?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Чтобы сделать производство компактнее, подготовить площади и инженерные коммуникации для ввода нового оборудования, перестроить производственные процессы по движению продукции.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Что сделали?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С 2022 года в развитие циркониевого производства инвестировали почти 4 млрд рублей, закупили 70 наименований нового оборудования, большая его часть смонтирована.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 этом году: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796"/>
        <w:numPr>
          <w:ilvl w:val="0"/>
          <w:numId w:val="41"/>
        </w:numPr>
        <w:ind w:right="0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завершат техническое перевооружение инструментального производства;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796"/>
        <w:numPr>
          <w:ilvl w:val="0"/>
          <w:numId w:val="41"/>
        </w:numPr>
        <w:ind w:right="0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смонтируют и введут в эксплуатацию почти 20 единиц крупного оборудования (печи, прокатные станы, ленточно-шлифовальные машины, термическое оборудование);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796"/>
        <w:numPr>
          <w:ilvl w:val="0"/>
          <w:numId w:val="41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начнут монтировать брикетировочноый пресс усилием в 6000 тонн (он станет самым мощным вертикальным прессом на ЧМЗ).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Окружное совещание по вопросам реализации национального проекта «Международная кооперация и экспорт» в субъектах ПФО</w:t>
      </w: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b/>
          <w:bCs/>
        </w:rPr>
      </w:r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 своем послании Федеральному Собранию Президент Российской Федерации Владимир Владимирович Путин дал поручение по увеличению объёма несырьевого, неэнергетического экспорта не менее чем на две трети.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14 мая 2024 года на Окружном совещании по вопросам реализации национального проекта «Международная кооперация и экспорт» в субъектах ПФО: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796"/>
        <w:numPr>
          <w:ilvl w:val="0"/>
          <w:numId w:val="4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Подвели итоги реализации национального проекта в субъектах ПФО в 2023 году;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6"/>
        <w:numPr>
          <w:ilvl w:val="0"/>
          <w:numId w:val="4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Наметили планы по реализации поставленной Президентом России задачи по увеличению несырьевого, неэнергетического экспорта;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6"/>
        <w:numPr>
          <w:ilvl w:val="0"/>
          <w:numId w:val="4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Подняли актуальный вопрос о трудностях экспортеров в рамках исполнения ПП РФ № 311.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Старт производства LADA Largus</w:t>
      </w: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b/>
          <w:bCs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15 мая 2024 года на ООО «ЛАДА Ижевский Автомобильный Завод» стартовало производство автомобилей семейства LADA Largus.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Первыми автомобилями, сошедшими сегодня с конвейера, стали пассажирский универсал в комплектации Classic и коммерческий фургон.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Перенос выпуска LADA Largus из Тольятти в Ижевск позволил оптимизировать производство автомобилей LADA в Группе «АВТОВАЗ». За период с сентября 2023 года по январь 2024 года было перемещено, смонтировано и запущено более 1200 единиц оборудования.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Модернизирована линия сборки, где специально под LADA Largus откалиброваны стенды динамических испытаний. В производстве сварки смонтировано 13 роботов, а в производстве окраски освоено 5 основных цветов: «Ледниковый» (белый), «Платина» (серебристый), «П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антера» (черный), «Борнео» (темно-серый металлик) и «Кориандр» (коричневый металлик).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Всего до конца текущего года ООО «ЛАДА Ижевский Автомобильный Завод» планирует выпустить до 50 тысяч LADA Largus, включая самый локализованный российский электромобиль e-Largus. Старт продаж семейства Largus будет объявлен в ближайшие недели.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В мае 2024 года одно из первых предприятий отрасли туризма стало </w:t>
      </w:r>
      <w:r>
        <w:rPr>
          <w:b/>
          <w:bCs/>
        </w:rPr>
      </w: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АО Санаторий «Металлург»</w:t>
      </w:r>
      <w:r>
        <w:rPr>
          <w:b/>
          <w:bCs/>
        </w:rPr>
      </w:r>
      <w:r/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За последние два года внутренний туризм увеличил свои обороты на 20%. В связи с этим возникла необходимость в работе по повышению производительности труда в курортных зонах.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Эксперты по бережливому производству помогут ускорить процесс заселения отдыхающих, сократить время ожидания, повысить стандарты обслуживания.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Удмуртская Республика богата минеральными источниками и целебными грязями.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 целях улучшения качества услуг и увеличения количества отдыхающих, руководство санаторий приняло решение внедрить инструменты бережливого производства. Адресная поддержка по повышению производительности помож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ет санаторию создать современную производственную культуру и без инвестиций повысить производительность труда и выработку при оказании услуг отдыхающим.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Э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ксперты по бережливому производству помогут перестроить внутрипроизводственную логистику, грамотно оптимизировать рабочие процессы, сократить издержки производства. В рамках нацпроекта  рабочая группа санатория пройдёт обучение и совместно с экспертами пр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иступят к  оптимизации пилотного потока на примере «процесса приема и регистрации гостей».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В мае 2024 года на 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ООО «Русэлком»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проведено стартовое совещание в рамках регионального проекта «Адресная поддержка повышения производительности труда на предприятии» </w:t>
      </w:r>
      <w:r>
        <w:rPr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  <w:shd w:val="clear" w:color="auto" w:fill="ffffff"/>
        </w:rPr>
      </w:r>
      <w:r>
        <w:rPr>
          <w:b/>
          <w:bCs/>
          <w:color w:val="000000"/>
          <w:sz w:val="28"/>
          <w:szCs w:val="28"/>
          <w:highlight w:val="yellow"/>
          <w:shd w:val="clear" w:color="auto" w:fill="ffffff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С целью внедрения культуры бережливого производства и достижения роста производительности труда определен пилотный проект «Производство станции управления БМС». БМС (Блочная модульная станция) оптимизирует режим добычи нефти с целью уменьшения электроэнергии на единицу добытой нефти.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ООО «</w:t>
      </w:r>
      <w:r>
        <w:rPr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Русэлком</w:t>
      </w:r>
      <w:r/>
      <w:r>
        <w:rPr>
          <w:color w:val="000000"/>
          <w:sz w:val="28"/>
          <w:szCs w:val="28"/>
          <w:highlight w:val="none"/>
          <w:shd w:val="clear" w:color="auto" w:fill="ffffff"/>
        </w:rPr>
        <w:t xml:space="preserve">»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 является разработчиком программного обеспечения, есть свое производство и обслуживание станков-качалок и средств их модернизации. На сегодняшний день около 60% всех станков-качалок, выпускаемых в России, укомплектованы станциями управления, либо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э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лектронными блоками производства ООО «</w:t>
      </w:r>
      <w:r>
        <w:rPr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Русэлком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». Помимо нефтяного направления компания занимается разработкой программного обеспечения для сельскохозяйственной техники. Например, программы управления фермой и программы для управления доильным аппаратом. 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24 мая 2024 года </w:t>
      </w: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в рамках Второго Всероссийского форума электромобильности «ЭлектроФест18» состоялся круглый стол на тему: «Экосистема электромобильности в Удмуртии. Реальность и перспективы развития. Опыт регионов»</w:t>
      </w: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 «круглом столе» с коллегами обсудили экосистему электромобильности, то как государство экономически поддерживает развитие электротранспорта.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Напомню, что в этом году республика стала пилотом в программе развития электрозаправочной инфраструктуры, на что предусмотрено 110,4 млн рублей и будет построено 40 электрозарядных станций.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Также отметили запуск производства LADA Largus, включая самый локализованный российский электромобиль e-Largus, запуск технопарков по утилизации батарей, производству редкоземельных металлов.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Также обозначил необходимость усиления позиций локализации производства электромобилей и компонентов к ним, путем пересмотра механизма оказания государственной поддержки при покупке и лизинге электромобилей.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Тема электромобильности очень многогранна, нам есть куда расти, и развиваться.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  <w:t xml:space="preserve">Из банкротящегося предприятия в участники нацпроекта</w:t>
      </w: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Новых высот достигают предприятия республики благодаря национальному проекту «Производительность труда». ООО «Воткинский завод теплоизоляционных материалов» (ООО «ВЗТМ») 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стал участником национального проекта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ООО «ВЗТМ» является лидером по производству тонкого базальтового волокна в России и странах СНГ. Производство огнезащитного базальтового материала включает в себя большое число операций и на текущий момент составляет порядка 30% выручки предприятия.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На пилотном проекте «Производство огнезащитного базальтового материала» всего за полгода удалось достичь: 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796"/>
        <w:numPr>
          <w:ilvl w:val="0"/>
          <w:numId w:val="43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сокращения времени протекания процесса на 72%; 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6"/>
        <w:numPr>
          <w:ilvl w:val="0"/>
          <w:numId w:val="43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сокращения уровня незавершенного производства на 70%;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6"/>
        <w:numPr>
          <w:ilvl w:val="0"/>
          <w:numId w:val="43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увеличения выработки на 42%;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6"/>
        <w:numPr>
          <w:ilvl w:val="0"/>
          <w:numId w:val="43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увеличения загрузки оборудования на 23%.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Так же благодаря рабочей группе предприятия в рамках проекта проведены улучшения условий труда рабочих, решены следующие проблемы:  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/>
    </w:p>
    <w:p>
      <w:pPr>
        <w:pStyle w:val="796"/>
        <w:numPr>
          <w:ilvl w:val="0"/>
          <w:numId w:val="44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операторы горячего цеха транспортировали базальтовый щебень до печей расплава вручную по 2 ведра. Изготовлена тележка для транспортировки щебня по 4 ведра время протекания процесса снизилось на 15,6% и значительно облегчило труд рабочих; 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796"/>
        <w:numPr>
          <w:ilvl w:val="0"/>
          <w:numId w:val="44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операторы вязально-прошивных машин разгружали машину с волокном и перемещали его на свое рабочее место вручную по 2 рулона. Перемещение волокна на телегах снизило время протекания процесса на 15,6% и увеличило выработку операторов на 4,5%. Перемещение про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шитого волокна до ламинаторов на телегах снизило время протекания процесса на 21%.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В результате реализации пилотного проекта по повышению производительности огнезащитного базальтового материала реальный экономический эффект составил 23 млн рублей.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П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оток по производству огнезащитного базальтового материала станет прародителем новых проектов, например, по оптимизации склада ТМЦ, оптимизации процесса изготовления базальтовых шнуров. Нацпроект не ломает привычки рабочего, а наоборот облегчает и совершенс</w:t>
      </w:r>
      <w:r>
        <w:rPr>
          <w:color w:val="000000"/>
          <w:sz w:val="28"/>
          <w:szCs w:val="28"/>
          <w:highlight w:val="none"/>
          <w:shd w:val="clear" w:color="auto" w:fill="ffffff"/>
        </w:rPr>
        <w:t xml:space="preserve">твует условия. </w:t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  <w:shd w:val="clear" w:color="auto" w:fill="ffffff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0"/>
      <w:rPr>
        <w:rStyle w:val="998"/>
      </w:rPr>
      <w:framePr w:wrap="around" w:vAnchor="text" w:hAnchor="margin" w:xAlign="right" w:y="1"/>
    </w:pPr>
    <w:r>
      <w:rPr>
        <w:rStyle w:val="998"/>
      </w:rPr>
      <w:fldChar w:fldCharType="begin"/>
    </w:r>
    <w:r>
      <w:rPr>
        <w:rStyle w:val="998"/>
      </w:rPr>
      <w:instrText xml:space="preserve">PAGE  </w:instrText>
    </w:r>
    <w:r>
      <w:rPr>
        <w:rStyle w:val="998"/>
      </w:rPr>
      <w:fldChar w:fldCharType="separate"/>
    </w:r>
    <w:r>
      <w:rPr>
        <w:rStyle w:val="998"/>
      </w:rPr>
      <w:t xml:space="preserve">5</w:t>
    </w:r>
    <w:r>
      <w:rPr>
        <w:rStyle w:val="998"/>
      </w:rPr>
      <w:fldChar w:fldCharType="end"/>
    </w:r>
    <w:r>
      <w:rPr>
        <w:rStyle w:val="998"/>
      </w:rPr>
    </w:r>
    <w:r>
      <w:rPr>
        <w:rStyle w:val="998"/>
      </w:rPr>
    </w:r>
  </w:p>
  <w:p>
    <w:pPr>
      <w:pStyle w:val="99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953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8">
    <w:name w:val="Heading 1"/>
    <w:basedOn w:val="953"/>
    <w:next w:val="953"/>
    <w:link w:val="7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9">
    <w:name w:val="Heading 1 Char"/>
    <w:link w:val="778"/>
    <w:uiPriority w:val="9"/>
    <w:rPr>
      <w:rFonts w:ascii="Arial" w:hAnsi="Arial" w:eastAsia="Arial" w:cs="Arial"/>
      <w:sz w:val="40"/>
      <w:szCs w:val="40"/>
    </w:rPr>
  </w:style>
  <w:style w:type="paragraph" w:styleId="780">
    <w:name w:val="Heading 2"/>
    <w:basedOn w:val="953"/>
    <w:next w:val="953"/>
    <w:link w:val="7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1">
    <w:name w:val="Heading 2 Char"/>
    <w:link w:val="780"/>
    <w:uiPriority w:val="9"/>
    <w:rPr>
      <w:rFonts w:ascii="Arial" w:hAnsi="Arial" w:eastAsia="Arial" w:cs="Arial"/>
      <w:sz w:val="34"/>
    </w:rPr>
  </w:style>
  <w:style w:type="paragraph" w:styleId="782">
    <w:name w:val="Heading 3"/>
    <w:basedOn w:val="953"/>
    <w:next w:val="953"/>
    <w:link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3">
    <w:name w:val="Heading 3 Char"/>
    <w:link w:val="782"/>
    <w:uiPriority w:val="9"/>
    <w:rPr>
      <w:rFonts w:ascii="Arial" w:hAnsi="Arial" w:eastAsia="Arial" w:cs="Arial"/>
      <w:sz w:val="30"/>
      <w:szCs w:val="30"/>
    </w:rPr>
  </w:style>
  <w:style w:type="paragraph" w:styleId="784">
    <w:name w:val="Heading 4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5">
    <w:name w:val="Heading 4 Char"/>
    <w:link w:val="784"/>
    <w:uiPriority w:val="9"/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7">
    <w:name w:val="Heading 5 Char"/>
    <w:link w:val="786"/>
    <w:uiPriority w:val="9"/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9">
    <w:name w:val="Heading 6 Char"/>
    <w:link w:val="788"/>
    <w:uiPriority w:val="9"/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7 Char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3">
    <w:name w:val="Heading 8 Char"/>
    <w:link w:val="792"/>
    <w:uiPriority w:val="9"/>
    <w:rPr>
      <w:rFonts w:ascii="Arial" w:hAnsi="Arial" w:eastAsia="Arial" w:cs="Arial"/>
      <w:i/>
      <w:iCs/>
      <w:sz w:val="22"/>
      <w:szCs w:val="22"/>
    </w:rPr>
  </w:style>
  <w:style w:type="paragraph" w:styleId="794">
    <w:name w:val="Heading 9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>
    <w:name w:val="Heading 9 Char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List Paragraph"/>
    <w:basedOn w:val="953"/>
    <w:uiPriority w:val="34"/>
    <w:qFormat/>
    <w:pPr>
      <w:contextualSpacing/>
      <w:ind w:left="720"/>
    </w:pPr>
  </w:style>
  <w:style w:type="paragraph" w:styleId="797">
    <w:name w:val="No Spacing"/>
    <w:uiPriority w:val="1"/>
    <w:qFormat/>
    <w:pPr>
      <w:spacing w:before="0" w:after="0" w:line="240" w:lineRule="auto"/>
    </w:pPr>
  </w:style>
  <w:style w:type="character" w:styleId="798">
    <w:name w:val="Title Char"/>
    <w:link w:val="1027"/>
    <w:uiPriority w:val="10"/>
    <w:rPr>
      <w:sz w:val="48"/>
      <w:szCs w:val="48"/>
    </w:rPr>
  </w:style>
  <w:style w:type="paragraph" w:styleId="799">
    <w:name w:val="Subtitle"/>
    <w:basedOn w:val="953"/>
    <w:next w:val="953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link w:val="799"/>
    <w:uiPriority w:val="11"/>
    <w:rPr>
      <w:sz w:val="24"/>
      <w:szCs w:val="24"/>
    </w:rPr>
  </w:style>
  <w:style w:type="paragraph" w:styleId="801">
    <w:name w:val="Quote"/>
    <w:basedOn w:val="953"/>
    <w:next w:val="953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3"/>
    <w:next w:val="953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character" w:styleId="805">
    <w:name w:val="Header Char"/>
    <w:link w:val="1026"/>
    <w:uiPriority w:val="99"/>
  </w:style>
  <w:style w:type="paragraph" w:styleId="806">
    <w:name w:val="Footer"/>
    <w:basedOn w:val="953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Footer Char"/>
    <w:link w:val="806"/>
    <w:uiPriority w:val="99"/>
  </w:style>
  <w:style w:type="character" w:styleId="808">
    <w:name w:val="Caption Char"/>
    <w:basedOn w:val="1031"/>
    <w:link w:val="806"/>
    <w:uiPriority w:val="99"/>
  </w:style>
  <w:style w:type="table" w:styleId="80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next w:val="953"/>
    <w:link w:val="953"/>
    <w:qFormat/>
    <w:rPr>
      <w:lang w:val="ru-RU" w:eastAsia="ar-SA" w:bidi="ar-SA"/>
    </w:rPr>
  </w:style>
  <w:style w:type="paragraph" w:styleId="954">
    <w:name w:val="Заголовок 1"/>
    <w:basedOn w:val="953"/>
    <w:next w:val="953"/>
    <w:link w:val="1021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55">
    <w:name w:val="Заголовок 2"/>
    <w:basedOn w:val="953"/>
    <w:next w:val="955"/>
    <w:link w:val="1019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956">
    <w:name w:val="Заголовок 3"/>
    <w:basedOn w:val="953"/>
    <w:next w:val="953"/>
    <w:link w:val="1024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57">
    <w:name w:val="Заголовок 4"/>
    <w:basedOn w:val="953"/>
    <w:next w:val="953"/>
    <w:link w:val="1023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58">
    <w:name w:val="Основной шрифт абзаца"/>
    <w:next w:val="958"/>
    <w:link w:val="953"/>
    <w:semiHidden/>
  </w:style>
  <w:style w:type="table" w:styleId="959">
    <w:name w:val="Обычная таблица"/>
    <w:next w:val="959"/>
    <w:link w:val="953"/>
    <w:uiPriority w:val="99"/>
    <w:semiHidden/>
    <w:unhideWhenUsed/>
    <w:tblPr/>
  </w:style>
  <w:style w:type="numbering" w:styleId="960">
    <w:name w:val="Нет списка"/>
    <w:next w:val="960"/>
    <w:link w:val="953"/>
    <w:uiPriority w:val="99"/>
    <w:semiHidden/>
    <w:unhideWhenUsed/>
  </w:style>
  <w:style w:type="character" w:styleId="961">
    <w:name w:val="Основной шрифт абзаца6"/>
    <w:next w:val="961"/>
    <w:link w:val="953"/>
  </w:style>
  <w:style w:type="character" w:styleId="962">
    <w:name w:val="Основной шрифт абзаца5"/>
    <w:next w:val="962"/>
    <w:link w:val="953"/>
  </w:style>
  <w:style w:type="character" w:styleId="963">
    <w:name w:val="Основной шрифт абзаца4"/>
    <w:next w:val="963"/>
    <w:link w:val="953"/>
  </w:style>
  <w:style w:type="character" w:styleId="964">
    <w:name w:val="Absatz-Standardschriftart"/>
    <w:next w:val="964"/>
    <w:link w:val="953"/>
  </w:style>
  <w:style w:type="character" w:styleId="965">
    <w:name w:val="WW-Absatz-Standardschriftart"/>
    <w:next w:val="965"/>
    <w:link w:val="953"/>
  </w:style>
  <w:style w:type="character" w:styleId="966">
    <w:name w:val="Основной шрифт абзаца3"/>
    <w:next w:val="966"/>
    <w:link w:val="953"/>
  </w:style>
  <w:style w:type="character" w:styleId="967">
    <w:name w:val="WW-Absatz-Standardschriftart1"/>
    <w:next w:val="967"/>
    <w:link w:val="953"/>
  </w:style>
  <w:style w:type="character" w:styleId="968">
    <w:name w:val="Основной шрифт абзаца2"/>
    <w:next w:val="968"/>
    <w:link w:val="953"/>
  </w:style>
  <w:style w:type="character" w:styleId="969">
    <w:name w:val="WW-Absatz-Standardschriftart11"/>
    <w:next w:val="969"/>
    <w:link w:val="953"/>
  </w:style>
  <w:style w:type="character" w:styleId="970">
    <w:name w:val="Основной шрифт абзаца1"/>
    <w:next w:val="970"/>
    <w:link w:val="953"/>
  </w:style>
  <w:style w:type="character" w:styleId="971">
    <w:name w:val="Îñíîâíîé øðèôò"/>
    <w:next w:val="971"/>
    <w:link w:val="953"/>
  </w:style>
  <w:style w:type="character" w:styleId="972">
    <w:name w:val="Гиперссылка"/>
    <w:next w:val="972"/>
    <w:link w:val="953"/>
    <w:uiPriority w:val="99"/>
    <w:semiHidden/>
    <w:rPr>
      <w:color w:val="0000ff"/>
      <w:u w:val="single"/>
    </w:rPr>
  </w:style>
  <w:style w:type="character" w:styleId="973">
    <w:name w:val="Просмотренная гиперссылка"/>
    <w:next w:val="973"/>
    <w:link w:val="953"/>
    <w:semiHidden/>
    <w:rPr>
      <w:color w:val="800080"/>
      <w:u w:val="single"/>
    </w:rPr>
  </w:style>
  <w:style w:type="paragraph" w:styleId="974">
    <w:name w:val="Заголовок"/>
    <w:basedOn w:val="953"/>
    <w:next w:val="975"/>
    <w:link w:val="953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975">
    <w:name w:val="Основной текст"/>
    <w:basedOn w:val="953"/>
    <w:next w:val="975"/>
    <w:link w:val="953"/>
    <w:semiHidden/>
    <w:rPr>
      <w:sz w:val="28"/>
    </w:rPr>
  </w:style>
  <w:style w:type="paragraph" w:styleId="976">
    <w:name w:val="Список"/>
    <w:basedOn w:val="975"/>
    <w:next w:val="976"/>
    <w:link w:val="953"/>
    <w:semiHidden/>
    <w:rPr>
      <w:rFonts w:ascii="Arial" w:hAnsi="Arial" w:cs="Tahoma"/>
    </w:rPr>
  </w:style>
  <w:style w:type="paragraph" w:styleId="977">
    <w:name w:val="Название6"/>
    <w:basedOn w:val="953"/>
    <w:next w:val="977"/>
    <w:link w:val="95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78">
    <w:name w:val="Указатель6"/>
    <w:basedOn w:val="953"/>
    <w:next w:val="978"/>
    <w:link w:val="953"/>
    <w:pPr>
      <w:suppressLineNumbers/>
    </w:pPr>
    <w:rPr>
      <w:rFonts w:ascii="Arial" w:hAnsi="Arial" w:cs="Tahoma"/>
    </w:rPr>
  </w:style>
  <w:style w:type="paragraph" w:styleId="979">
    <w:name w:val="Название5"/>
    <w:basedOn w:val="953"/>
    <w:next w:val="979"/>
    <w:link w:val="95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80">
    <w:name w:val="Указатель5"/>
    <w:basedOn w:val="953"/>
    <w:next w:val="980"/>
    <w:link w:val="953"/>
    <w:pPr>
      <w:suppressLineNumbers/>
    </w:pPr>
    <w:rPr>
      <w:rFonts w:ascii="Arial" w:hAnsi="Arial" w:cs="Tahoma"/>
    </w:rPr>
  </w:style>
  <w:style w:type="paragraph" w:styleId="981">
    <w:name w:val="Название4"/>
    <w:basedOn w:val="953"/>
    <w:next w:val="981"/>
    <w:link w:val="95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82">
    <w:name w:val="Указатель4"/>
    <w:basedOn w:val="953"/>
    <w:next w:val="982"/>
    <w:link w:val="953"/>
    <w:pPr>
      <w:suppressLineNumbers/>
    </w:pPr>
    <w:rPr>
      <w:rFonts w:ascii="Arial" w:hAnsi="Arial" w:cs="Tahoma"/>
    </w:rPr>
  </w:style>
  <w:style w:type="paragraph" w:styleId="983">
    <w:name w:val="Название3"/>
    <w:basedOn w:val="953"/>
    <w:next w:val="983"/>
    <w:link w:val="95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84">
    <w:name w:val="Указатель3"/>
    <w:basedOn w:val="953"/>
    <w:next w:val="984"/>
    <w:link w:val="953"/>
    <w:pPr>
      <w:suppressLineNumbers/>
    </w:pPr>
    <w:rPr>
      <w:rFonts w:ascii="Arial" w:hAnsi="Arial" w:cs="Tahoma"/>
    </w:rPr>
  </w:style>
  <w:style w:type="paragraph" w:styleId="985">
    <w:name w:val="Название2"/>
    <w:basedOn w:val="953"/>
    <w:next w:val="985"/>
    <w:link w:val="95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86">
    <w:name w:val="Указатель2"/>
    <w:basedOn w:val="953"/>
    <w:next w:val="986"/>
    <w:link w:val="953"/>
    <w:pPr>
      <w:suppressLineNumbers/>
    </w:pPr>
    <w:rPr>
      <w:rFonts w:ascii="Arial" w:hAnsi="Arial" w:cs="Tahoma"/>
    </w:rPr>
  </w:style>
  <w:style w:type="paragraph" w:styleId="987">
    <w:name w:val="Название1"/>
    <w:basedOn w:val="953"/>
    <w:next w:val="987"/>
    <w:link w:val="95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88">
    <w:name w:val="Указатель1"/>
    <w:basedOn w:val="953"/>
    <w:next w:val="988"/>
    <w:link w:val="953"/>
    <w:pPr>
      <w:suppressLineNumbers/>
    </w:pPr>
    <w:rPr>
      <w:rFonts w:ascii="Arial" w:hAnsi="Arial" w:cs="Tahoma"/>
    </w:rPr>
  </w:style>
  <w:style w:type="paragraph" w:styleId="989">
    <w:name w:val="Верхний колонтитул"/>
    <w:basedOn w:val="953"/>
    <w:next w:val="989"/>
    <w:link w:val="996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990">
    <w:name w:val="Нижний колонтитул"/>
    <w:basedOn w:val="953"/>
    <w:next w:val="990"/>
    <w:link w:val="997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991">
    <w:name w:val="Текст выноски"/>
    <w:basedOn w:val="953"/>
    <w:next w:val="991"/>
    <w:link w:val="953"/>
    <w:rPr>
      <w:rFonts w:ascii="Tahoma" w:hAnsi="Tahoma" w:cs="Tahoma"/>
      <w:sz w:val="16"/>
      <w:szCs w:val="16"/>
    </w:rPr>
  </w:style>
  <w:style w:type="paragraph" w:styleId="992">
    <w:name w:val="Содержимое таблицы"/>
    <w:basedOn w:val="953"/>
    <w:next w:val="992"/>
    <w:link w:val="953"/>
    <w:pPr>
      <w:suppressLineNumbers/>
    </w:pPr>
  </w:style>
  <w:style w:type="paragraph" w:styleId="993">
    <w:name w:val="Заголовок таблицы"/>
    <w:basedOn w:val="992"/>
    <w:next w:val="993"/>
    <w:link w:val="953"/>
    <w:pPr>
      <w:jc w:val="center"/>
      <w:suppressLineNumbers/>
    </w:pPr>
    <w:rPr>
      <w:b/>
      <w:bCs/>
    </w:rPr>
  </w:style>
  <w:style w:type="paragraph" w:styleId="994">
    <w:name w:val="Содержимое врезки"/>
    <w:basedOn w:val="975"/>
    <w:next w:val="994"/>
    <w:link w:val="953"/>
  </w:style>
  <w:style w:type="table" w:styleId="995">
    <w:name w:val="Сетка таблицы"/>
    <w:basedOn w:val="959"/>
    <w:next w:val="995"/>
    <w:link w:val="953"/>
    <w:tblPr/>
  </w:style>
  <w:style w:type="character" w:styleId="996">
    <w:name w:val="Верхний колонтитул Знак"/>
    <w:next w:val="996"/>
    <w:link w:val="989"/>
    <w:rPr>
      <w:lang w:eastAsia="ar-SA"/>
    </w:rPr>
  </w:style>
  <w:style w:type="character" w:styleId="997">
    <w:name w:val="Нижний колонтитул Знак"/>
    <w:next w:val="997"/>
    <w:link w:val="990"/>
    <w:rPr>
      <w:lang w:eastAsia="ar-SA"/>
    </w:rPr>
  </w:style>
  <w:style w:type="character" w:styleId="998">
    <w:name w:val="Номер страницы"/>
    <w:basedOn w:val="958"/>
    <w:next w:val="998"/>
    <w:link w:val="953"/>
  </w:style>
  <w:style w:type="character" w:styleId="999">
    <w:name w:val="Основной текст + 16,5 pt2,Курсив1,Основной текст + 10"/>
    <w:next w:val="999"/>
    <w:link w:val="953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00">
    <w:name w:val="Основной текст (3)_"/>
    <w:next w:val="1000"/>
    <w:link w:val="1001"/>
    <w:rPr>
      <w:sz w:val="22"/>
      <w:szCs w:val="22"/>
      <w:shd w:val="clear" w:color="auto" w:fill="ffffff"/>
    </w:rPr>
  </w:style>
  <w:style w:type="paragraph" w:styleId="1001">
    <w:name w:val="Основной текст (3)"/>
    <w:basedOn w:val="953"/>
    <w:next w:val="1001"/>
    <w:link w:val="1000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02">
    <w:name w:val="Без интервала"/>
    <w:next w:val="1002"/>
    <w:link w:val="95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03">
    <w:name w:val="Font Style13"/>
    <w:next w:val="1003"/>
    <w:link w:val="953"/>
    <w:rPr>
      <w:rFonts w:ascii="Times New Roman" w:hAnsi="Times New Roman" w:cs="Times New Roman"/>
      <w:sz w:val="26"/>
      <w:szCs w:val="26"/>
    </w:rPr>
  </w:style>
  <w:style w:type="paragraph" w:styleId="1004">
    <w:name w:val="Обычный (веб)"/>
    <w:basedOn w:val="953"/>
    <w:next w:val="1004"/>
    <w:link w:val="95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05">
    <w:name w:val="apple-converted-space"/>
    <w:next w:val="1005"/>
    <w:link w:val="953"/>
  </w:style>
  <w:style w:type="character" w:styleId="1006">
    <w:name w:val="Font Style18"/>
    <w:next w:val="1006"/>
    <w:link w:val="953"/>
    <w:uiPriority w:val="99"/>
    <w:rPr>
      <w:rFonts w:ascii="Times New Roman" w:hAnsi="Times New Roman" w:cs="Times New Roman"/>
      <w:sz w:val="26"/>
      <w:szCs w:val="26"/>
    </w:rPr>
  </w:style>
  <w:style w:type="paragraph" w:styleId="1007">
    <w:name w:val="Основной текст с отступом"/>
    <w:basedOn w:val="953"/>
    <w:next w:val="1007"/>
    <w:link w:val="1008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08">
    <w:name w:val="Основной текст с отступом Знак"/>
    <w:next w:val="1008"/>
    <w:link w:val="1007"/>
    <w:uiPriority w:val="99"/>
    <w:rPr>
      <w:color w:val="000000"/>
      <w:sz w:val="28"/>
      <w:szCs w:val="28"/>
      <w:lang w:eastAsia="ar-SA"/>
    </w:rPr>
  </w:style>
  <w:style w:type="paragraph" w:styleId="1009">
    <w:name w:val="ConsPlusNormal"/>
    <w:next w:val="1009"/>
    <w:link w:val="10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10">
    <w:name w:val="ConsPlusNormal Знак"/>
    <w:next w:val="1010"/>
    <w:link w:val="1009"/>
    <w:rPr>
      <w:rFonts w:ascii="Arial" w:hAnsi="Arial" w:cs="Arial"/>
      <w:lang w:val="ru-RU" w:eastAsia="ru-RU" w:bidi="ar-SA"/>
    </w:rPr>
  </w:style>
  <w:style w:type="paragraph" w:styleId="1011">
    <w:name w:val="Основной текст с отступом 2"/>
    <w:basedOn w:val="953"/>
    <w:next w:val="1011"/>
    <w:link w:val="1012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12">
    <w:name w:val="Основной текст с отступом 2 Знак"/>
    <w:next w:val="1012"/>
    <w:link w:val="1011"/>
    <w:uiPriority w:val="99"/>
    <w:rPr>
      <w:color w:val="000000"/>
      <w:sz w:val="26"/>
      <w:szCs w:val="26"/>
      <w:lang w:eastAsia="ar-SA"/>
    </w:rPr>
  </w:style>
  <w:style w:type="character" w:styleId="1013">
    <w:name w:val="Знак примечания"/>
    <w:next w:val="1013"/>
    <w:link w:val="953"/>
    <w:uiPriority w:val="99"/>
    <w:semiHidden/>
    <w:unhideWhenUsed/>
    <w:rPr>
      <w:sz w:val="16"/>
      <w:szCs w:val="16"/>
    </w:rPr>
  </w:style>
  <w:style w:type="paragraph" w:styleId="1014">
    <w:name w:val="Текст примечания"/>
    <w:basedOn w:val="953"/>
    <w:next w:val="1014"/>
    <w:link w:val="1015"/>
    <w:uiPriority w:val="99"/>
    <w:semiHidden/>
    <w:unhideWhenUsed/>
  </w:style>
  <w:style w:type="character" w:styleId="1015">
    <w:name w:val="Текст примечания Знак"/>
    <w:next w:val="1015"/>
    <w:link w:val="1014"/>
    <w:uiPriority w:val="99"/>
    <w:semiHidden/>
    <w:rPr>
      <w:lang w:eastAsia="ar-SA"/>
    </w:rPr>
  </w:style>
  <w:style w:type="paragraph" w:styleId="1016">
    <w:name w:val="Тема примечания"/>
    <w:basedOn w:val="1014"/>
    <w:next w:val="1014"/>
    <w:link w:val="1017"/>
    <w:uiPriority w:val="99"/>
    <w:semiHidden/>
    <w:unhideWhenUsed/>
    <w:rPr>
      <w:b/>
      <w:bCs/>
    </w:rPr>
  </w:style>
  <w:style w:type="character" w:styleId="1017">
    <w:name w:val="Тема примечания Знак"/>
    <w:next w:val="1017"/>
    <w:link w:val="1016"/>
    <w:uiPriority w:val="99"/>
    <w:semiHidden/>
    <w:rPr>
      <w:b/>
      <w:bCs/>
      <w:lang w:eastAsia="ar-SA"/>
    </w:rPr>
  </w:style>
  <w:style w:type="character" w:styleId="1018">
    <w:name w:val="Строгий"/>
    <w:next w:val="1018"/>
    <w:link w:val="953"/>
    <w:uiPriority w:val="22"/>
    <w:qFormat/>
    <w:rPr>
      <w:b/>
      <w:bCs/>
    </w:rPr>
  </w:style>
  <w:style w:type="character" w:styleId="1019">
    <w:name w:val="Заголовок 2 Знак"/>
    <w:next w:val="1019"/>
    <w:link w:val="955"/>
    <w:uiPriority w:val="9"/>
    <w:rPr>
      <w:b/>
      <w:bCs/>
      <w:sz w:val="36"/>
      <w:szCs w:val="36"/>
    </w:rPr>
  </w:style>
  <w:style w:type="paragraph" w:styleId="1020">
    <w:name w:val="paragraph"/>
    <w:basedOn w:val="953"/>
    <w:next w:val="1020"/>
    <w:link w:val="9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1">
    <w:name w:val="Заголовок 1 Знак"/>
    <w:next w:val="1021"/>
    <w:link w:val="954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22">
    <w:name w:val="b-article__text"/>
    <w:basedOn w:val="953"/>
    <w:next w:val="1022"/>
    <w:link w:val="9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3">
    <w:name w:val="Заголовок 4 Знак"/>
    <w:next w:val="1023"/>
    <w:link w:val="957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24">
    <w:name w:val="Заголовок 3 Знак"/>
    <w:next w:val="1024"/>
    <w:link w:val="956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25">
    <w:name w:val="Абзац списка"/>
    <w:basedOn w:val="953"/>
    <w:next w:val="1025"/>
    <w:link w:val="953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6">
    <w:name w:val="Header"/>
    <w:next w:val="1026"/>
    <w:link w:val="953"/>
  </w:style>
  <w:style w:type="character" w:styleId="1027">
    <w:name w:val="Title"/>
    <w:next w:val="1027"/>
    <w:link w:val="953"/>
  </w:style>
  <w:style w:type="character" w:styleId="1028">
    <w:name w:val="dashed"/>
    <w:next w:val="1028"/>
    <w:link w:val="953"/>
  </w:style>
  <w:style w:type="character" w:styleId="1029">
    <w:name w:val="buttons"/>
    <w:next w:val="1029"/>
    <w:link w:val="953"/>
  </w:style>
  <w:style w:type="paragraph" w:styleId="1030">
    <w:name w:val="float"/>
    <w:basedOn w:val="953"/>
    <w:next w:val="1030"/>
    <w:link w:val="9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31">
    <w:name w:val="Caption"/>
    <w:next w:val="1031"/>
    <w:link w:val="953"/>
  </w:style>
  <w:style w:type="character" w:styleId="1032">
    <w:name w:val="time"/>
    <w:next w:val="1032"/>
    <w:link w:val="953"/>
  </w:style>
  <w:style w:type="character" w:styleId="1033">
    <w:name w:val="i18n"/>
    <w:next w:val="1033"/>
    <w:link w:val="953"/>
  </w:style>
  <w:style w:type="paragraph" w:styleId="1034">
    <w:name w:val="z-Начало формы"/>
    <w:basedOn w:val="953"/>
    <w:next w:val="953"/>
    <w:link w:val="1035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35">
    <w:name w:val="z-Начало формы Знак"/>
    <w:next w:val="1035"/>
    <w:link w:val="1034"/>
    <w:uiPriority w:val="99"/>
    <w:semiHidden/>
    <w:rPr>
      <w:rFonts w:ascii="Arial" w:hAnsi="Arial" w:cs="Arial"/>
      <w:vanish/>
      <w:sz w:val="16"/>
      <w:szCs w:val="16"/>
    </w:rPr>
  </w:style>
  <w:style w:type="paragraph" w:styleId="1036">
    <w:name w:val="z-Конец формы"/>
    <w:basedOn w:val="953"/>
    <w:next w:val="953"/>
    <w:link w:val="1037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37">
    <w:name w:val="z-Конец формы Знак"/>
    <w:next w:val="1037"/>
    <w:link w:val="1036"/>
    <w:uiPriority w:val="99"/>
    <w:semiHidden/>
    <w:rPr>
      <w:rFonts w:ascii="Arial" w:hAnsi="Arial" w:cs="Arial"/>
      <w:vanish/>
      <w:sz w:val="16"/>
      <w:szCs w:val="16"/>
    </w:rPr>
  </w:style>
  <w:style w:type="character" w:styleId="1038">
    <w:name w:val="message-time"/>
    <w:next w:val="1038"/>
    <w:link w:val="953"/>
  </w:style>
  <w:style w:type="character" w:styleId="1039" w:default="1">
    <w:name w:val="Default Paragraph Font"/>
    <w:uiPriority w:val="1"/>
    <w:semiHidden/>
    <w:unhideWhenUsed/>
  </w:style>
  <w:style w:type="numbering" w:styleId="1040" w:default="1">
    <w:name w:val="No List"/>
    <w:uiPriority w:val="99"/>
    <w:semiHidden/>
    <w:unhideWhenUsed/>
  </w:style>
  <w:style w:type="table" w:styleId="10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35</cp:revision>
  <dcterms:created xsi:type="dcterms:W3CDTF">2023-12-05T08:05:00Z</dcterms:created>
  <dcterms:modified xsi:type="dcterms:W3CDTF">2024-06-27T06:13:23Z</dcterms:modified>
  <cp:version>917504</cp:version>
</cp:coreProperties>
</file>